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697A" w14:textId="77777777" w:rsidR="00041E1E" w:rsidRPr="00041E1E" w:rsidRDefault="00041E1E" w:rsidP="00041E1E">
      <w:pPr>
        <w:shd w:val="clear" w:color="auto" w:fill="FFFFFF"/>
        <w:spacing w:after="360" w:line="570" w:lineRule="atLeast"/>
        <w:outlineLvl w:val="0"/>
        <w:rPr>
          <w:rFonts w:ascii="Helvetica Neue" w:eastAsia="Times New Roman" w:hAnsi="Helvetica Neue" w:cs="Times New Roman"/>
          <w:b/>
          <w:bCs/>
          <w:color w:val="1A1E25"/>
          <w:kern w:val="36"/>
          <w:sz w:val="45"/>
          <w:szCs w:val="45"/>
          <w:lang w:eastAsia="ru-RU"/>
        </w:rPr>
      </w:pPr>
      <w:r w:rsidRPr="00041E1E">
        <w:rPr>
          <w:rFonts w:ascii="Helvetica Neue" w:eastAsia="Times New Roman" w:hAnsi="Helvetica Neue" w:cs="Times New Roman"/>
          <w:b/>
          <w:bCs/>
          <w:color w:val="1A1E25"/>
          <w:kern w:val="36"/>
          <w:sz w:val="45"/>
          <w:szCs w:val="45"/>
          <w:lang w:eastAsia="ru-RU"/>
        </w:rPr>
        <w:t>Политика конфиденциальности ООО «ФОНКОР»</w:t>
      </w:r>
    </w:p>
    <w:p w14:paraId="256C53F9"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(Политика в отношении обработки персональных данных участников азартных игр)</w:t>
      </w:r>
    </w:p>
    <w:p w14:paraId="47DE4B9A"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1. Общие положения</w:t>
      </w:r>
    </w:p>
    <w:p w14:paraId="36072C1C"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1.1. Настоящая политика конфиденциальности (далее – «Политика») разработана ООО «ФОНКОР» (ОГРН 1147746836203, адрес: 142210, Московская область, городской округ Серпухов, город Серпухов, переулок Клубный, дом 1/2, этаж 2, помещение 24) (далее – «Общество») в целях описания процессов и принципов Общества по обработке персональных данных физических лиц – участников азартных игр, зарегистрировавшихся на сайте и/или в приложении Общества или посещающих сайт Общества (далее – «Участники азартных игр» и «Персональные данные» соответственно), и действует в отношении Персональных данных, предоставляемых Обществу Участниками азартных игр.</w:t>
      </w:r>
    </w:p>
    <w:p w14:paraId="4C340DDB"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Настоящая Политика также издана в целях выполнения Обществом, являющимся оператором Персональных данных, своих обязанностей в рамках требований статьи 18.1 Федерального закона «О персональных данных» от 27.07.2006 № 152-ФЗ.</w:t>
      </w:r>
    </w:p>
    <w:p w14:paraId="040462AE"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1.2. Настоящая Политика является общедоступным документом, декларирующим концептуальные основы обработки и защиты Персональных данных Участников азартных игр.</w:t>
      </w:r>
    </w:p>
    <w:p w14:paraId="374A51B4"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1.3. Документами, регулирующими обработку Персональных данных Участников азартных игр, являются:</w:t>
      </w:r>
    </w:p>
    <w:p w14:paraId="392D2B7A"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настоящая Политика;</w:t>
      </w:r>
    </w:p>
    <w:p w14:paraId="14E9ACEF"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Федеральный закон от 27.07.2006 № 152-ФЗ «О персональных данных»;</w:t>
      </w:r>
    </w:p>
    <w:p w14:paraId="639BF67C"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Федеральный закон от 27.07.2006 № 149-ФЗ «Об информации, информационных технологиях и о защите информации»;</w:t>
      </w:r>
    </w:p>
    <w:p w14:paraId="714BCC95"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Федеральный закон от 29.12.2006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14:paraId="03F472A8"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Налоговый кодекс Российской Федерации;</w:t>
      </w:r>
    </w:p>
    <w:p w14:paraId="53DF5AB1"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Федеральный закон от 07.08.2001 № 115-ФЗ «О противодействии легализации (отмыванию) доходов, полученных преступным путем, и финансированию терроризма»;</w:t>
      </w:r>
    </w:p>
    <w:p w14:paraId="3AA712F7" w14:textId="77777777" w:rsidR="00041E1E" w:rsidRPr="00041E1E" w:rsidRDefault="00041E1E" w:rsidP="00041E1E">
      <w:pPr>
        <w:numPr>
          <w:ilvl w:val="0"/>
          <w:numId w:val="1"/>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иные нормативные правовые акты, применимые к обработке Персональных данных Обществом.</w:t>
      </w:r>
    </w:p>
    <w:p w14:paraId="368F5F54"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2. Кто обрабатывает ваши Персональные данные</w:t>
      </w:r>
    </w:p>
    <w:p w14:paraId="3548EBF0"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2.1. Для обеспечения использования Участниками азартных игр предоставляемых Обществом услуг и сервисов на сайте Общества https://fon.bet (далее – «Сайт») и/или в мобильном приложении Общества (далее – «Мобильное приложение»). Персональные данные Участников азартных игр собираются и обрабатываются самим Обществом, а также могут быть переданы третьим лицам в случаях, когда обработка Персональных данных такими третьими лицами необходима для исполнения договора, стороной которого либо выгодоприобретателем или </w:t>
      </w:r>
      <w:proofErr w:type="gramStart"/>
      <w:r w:rsidRPr="00041E1E">
        <w:rPr>
          <w:rFonts w:ascii="Helvetica Neue" w:eastAsia="Times New Roman" w:hAnsi="Helvetica Neue" w:cs="Times New Roman"/>
          <w:color w:val="1A1E25"/>
          <w:sz w:val="21"/>
          <w:szCs w:val="21"/>
          <w:lang w:eastAsia="ru-RU"/>
        </w:rPr>
        <w:t>поручителем</w:t>
      </w:r>
      <w:proofErr w:type="gramEnd"/>
      <w:r w:rsidRPr="00041E1E">
        <w:rPr>
          <w:rFonts w:ascii="Helvetica Neue" w:eastAsia="Times New Roman" w:hAnsi="Helvetica Neue" w:cs="Times New Roman"/>
          <w:color w:val="1A1E25"/>
          <w:sz w:val="21"/>
          <w:szCs w:val="21"/>
          <w:lang w:eastAsia="ru-RU"/>
        </w:rPr>
        <w:t xml:space="preserve"> по которому является субъект Персональных данных, или в связи с требованиями применимого законодательства.</w:t>
      </w:r>
    </w:p>
    <w:p w14:paraId="49902889"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lastRenderedPageBreak/>
        <w:t>2.2. Перечень третьих лиц и государственных органов, которым Общество может предоставлять Персональные данные в связи с требованиями применимого законодательства в случае регистрации Участника азартных игр на Сайте и/или в Мобильном приложении Общества, и цели передачи Персональных данных:</w:t>
      </w:r>
    </w:p>
    <w:p w14:paraId="3A6FDB26"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ООО НКО «Мобильная карта» (ИНН 7835905228, местонахождение: 195112, город Санкт-Петербург, внутригородская территория города федерального значения муниципальный округ Малая </w:t>
      </w:r>
      <w:proofErr w:type="spellStart"/>
      <w:r w:rsidRPr="00041E1E">
        <w:rPr>
          <w:rFonts w:ascii="Helvetica Neue" w:eastAsia="Times New Roman" w:hAnsi="Helvetica Neue" w:cs="Times New Roman"/>
          <w:color w:val="1A1E25"/>
          <w:sz w:val="21"/>
          <w:szCs w:val="21"/>
          <w:lang w:eastAsia="ru-RU"/>
        </w:rPr>
        <w:t>Охта</w:t>
      </w:r>
      <w:proofErr w:type="spellEnd"/>
      <w:r w:rsidRPr="00041E1E">
        <w:rPr>
          <w:rFonts w:ascii="Helvetica Neue" w:eastAsia="Times New Roman" w:hAnsi="Helvetica Neue" w:cs="Times New Roman"/>
          <w:color w:val="1A1E25"/>
          <w:sz w:val="21"/>
          <w:szCs w:val="21"/>
          <w:lang w:eastAsia="ru-RU"/>
        </w:rPr>
        <w:t xml:space="preserve">, проспект </w:t>
      </w:r>
      <w:proofErr w:type="spellStart"/>
      <w:r w:rsidRPr="00041E1E">
        <w:rPr>
          <w:rFonts w:ascii="Helvetica Neue" w:eastAsia="Times New Roman" w:hAnsi="Helvetica Neue" w:cs="Times New Roman"/>
          <w:color w:val="1A1E25"/>
          <w:sz w:val="21"/>
          <w:szCs w:val="21"/>
          <w:lang w:eastAsia="ru-RU"/>
        </w:rPr>
        <w:t>Малоохтинский</w:t>
      </w:r>
      <w:proofErr w:type="spellEnd"/>
      <w:r w:rsidRPr="00041E1E">
        <w:rPr>
          <w:rFonts w:ascii="Helvetica Neue" w:eastAsia="Times New Roman" w:hAnsi="Helvetica Neue" w:cs="Times New Roman"/>
          <w:color w:val="1A1E25"/>
          <w:sz w:val="21"/>
          <w:szCs w:val="21"/>
          <w:lang w:eastAsia="ru-RU"/>
        </w:rPr>
        <w:t>, дом 64, литера Б, этаж 8, помещение 23Н) в целях регистрации и идентификации Участников азартных игр в системе Единого центра учета переводов ставок букмекерских контор и тотализаторов;</w:t>
      </w:r>
    </w:p>
    <w:p w14:paraId="7037104D"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ППК «Единый регулятор азартных игр» (ИНН 9703038188, местонахождение: 123112, город Москва, внутригородская территория города федерального значения муниципальный округ Пресненский, проезд 1-й Красногвардейский, дом 21, строение 1, помещение 16/26) и АО «Современные платежные решения» (ИНН 5009105656, местонахождение: 142200, Московская область, городской округ Серпухов, город Серпухов, улица Ворошилова, дом 130а) в целях информирования о совершенных прогнозах, принятых ставках, интерактивных ставках, в том числе о сумме ставки, сумме интерактивной ставки, дате и времени их приема, событиях и условиях ставки, интерактивной ставки, о рассчитанных по ним суммах подлежащих выплате выигрышей, о выплаченных и невыплаченных выигрышах, возвращенных </w:t>
      </w:r>
      <w:proofErr w:type="spellStart"/>
      <w:r w:rsidRPr="00041E1E">
        <w:rPr>
          <w:rFonts w:ascii="Helvetica Neue" w:eastAsia="Times New Roman" w:hAnsi="Helvetica Neue" w:cs="Times New Roman"/>
          <w:color w:val="1A1E25"/>
          <w:sz w:val="21"/>
          <w:szCs w:val="21"/>
          <w:lang w:eastAsia="ru-RU"/>
        </w:rPr>
        <w:t>несыгравших</w:t>
      </w:r>
      <w:proofErr w:type="spellEnd"/>
      <w:r w:rsidRPr="00041E1E">
        <w:rPr>
          <w:rFonts w:ascii="Helvetica Neue" w:eastAsia="Times New Roman" w:hAnsi="Helvetica Neue" w:cs="Times New Roman"/>
          <w:color w:val="1A1E25"/>
          <w:sz w:val="21"/>
          <w:szCs w:val="21"/>
          <w:lang w:eastAsia="ru-RU"/>
        </w:rPr>
        <w:t xml:space="preserve"> ставках, интерактивных ставках, об осуществлении кассовых операций в игорных заведениях, о форме расчетов с участниками азартных игр, в том числе с использованием наличных денежных средств, о переводе денежных средств, в том числе электронных денежных средств, от участников азартных игр организаторам азартных игр и от организаторов азартных игр участникам азартных игр;</w:t>
      </w:r>
    </w:p>
    <w:p w14:paraId="0B794F77"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ООО «Спортивные Лотереи» (ИНН 5003133760, местонахождение: 142210, Московская область, город Серпухов, переулок Клубный, дом 1/2, помещение 203) в целях заключения и исполнения договора участия в лотерее, стороной по которому я являюсь;</w:t>
      </w:r>
    </w:p>
    <w:p w14:paraId="47EA3483"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ООО «</w:t>
      </w:r>
      <w:proofErr w:type="spellStart"/>
      <w:r w:rsidRPr="00041E1E">
        <w:rPr>
          <w:rFonts w:ascii="Helvetica Neue" w:eastAsia="Times New Roman" w:hAnsi="Helvetica Neue" w:cs="Times New Roman"/>
          <w:color w:val="1A1E25"/>
          <w:sz w:val="21"/>
          <w:szCs w:val="21"/>
          <w:lang w:eastAsia="ru-RU"/>
        </w:rPr>
        <w:t>Кабутек</w:t>
      </w:r>
      <w:proofErr w:type="spellEnd"/>
      <w:r w:rsidRPr="00041E1E">
        <w:rPr>
          <w:rFonts w:ascii="Helvetica Neue" w:eastAsia="Times New Roman" w:hAnsi="Helvetica Neue" w:cs="Times New Roman"/>
          <w:color w:val="1A1E25"/>
          <w:sz w:val="21"/>
          <w:szCs w:val="21"/>
          <w:lang w:eastAsia="ru-RU"/>
        </w:rPr>
        <w:t>» (ИНН 7813659385, местонахождение: 197110, город Санкт-Петербург, улица Большая Разночинная, дом 14, литера А, помещение № 506 А) в целях исполнения основанного на риске соглашения о выигрыше, в том числе проведения процедуры проверки предоставленных идентификационных сведений и документов, факта выбора прогнозов для пресечения противоправных и мошеннических действий при оказании услуг Компанией;</w:t>
      </w:r>
    </w:p>
    <w:p w14:paraId="7EED6CD6"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Федеральной налоговой службе в целях исполнения обязанностей налогового агента;</w:t>
      </w:r>
    </w:p>
    <w:p w14:paraId="7575597B"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уполномоченному федеральному органу исполнительной власти, осуществляющему государственный контроль (надзор) за организацией и проведением азартных игр, ППК «Единый регулятор азартных игр», общероссийской спортивной федерации по соответствующему виду спорта, профессиональной спортивной лиге, организующей соответствующие официальные спортивные соревнования, в целях информирования о выигрышах, выплаченных (подлежащих выплате) по результатам совершенных прогнозов на официальные спортивные соревнования, завершившиеся с наименее вероятным результатом или исходом;</w:t>
      </w:r>
    </w:p>
    <w:p w14:paraId="31F6BABF"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общероссийским спортивным федерациям, профессиональным спортивным лигам в целях предотвращения противоправного влияния на результаты спортивных соревнований;</w:t>
      </w:r>
    </w:p>
    <w:p w14:paraId="6166FCFD"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уполномоченному федеральному органу исполнительной власти, осуществляющему государственный контроль (надзор) за организацией и проведением азартных игр, и ППК «Единый регулятор азартных игр» в целях предоставления данных учета участников азартных игр в букмекерских конторах и тотализаторах;</w:t>
      </w:r>
    </w:p>
    <w:p w14:paraId="47045A50"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lastRenderedPageBreak/>
        <w:t>банкам, небанковским кредитным организациям, платежным агентам в целях зачисления / перевода денежных средств, электронных денежных средств;</w:t>
      </w:r>
    </w:p>
    <w:p w14:paraId="0D099831"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операторам связи в целях получения Обществом сведений об оказанных операторами услугах связи (в том числе сведений о местонахождении абонентского оборудования при получении услуг связи, оплате оказанных услуг связи), сведений об идентификаторах абонентского оборудования в целях пресечения противоправных и мошеннических действий Участников азартных игр при оказании услуг Обществом;</w:t>
      </w:r>
    </w:p>
    <w:p w14:paraId="44203D35" w14:textId="77777777" w:rsidR="00041E1E" w:rsidRPr="00041E1E" w:rsidRDefault="00041E1E" w:rsidP="00041E1E">
      <w:pPr>
        <w:numPr>
          <w:ilvl w:val="0"/>
          <w:numId w:val="2"/>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иным третьим лицам при условии соблюдения требований Федерального закона «О персональных данных» от 27.07.2006 №152-ФЗ и/или иного применимого законодательства.</w:t>
      </w:r>
    </w:p>
    <w:p w14:paraId="23D8F6F1"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3. Цели, перечень, категории субъектов, способы и срок обработки Персональных данных.</w:t>
      </w:r>
    </w:p>
    <w:p w14:paraId="5586497A"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3.1. Общество может осуществлять обработку указанных ниже Персональных данных в следующих целях, в отношении следующих категорий субъектов Персональных данных и следующим образом:</w:t>
      </w:r>
    </w:p>
    <w:tbl>
      <w:tblPr>
        <w:tblW w:w="10033" w:type="dxa"/>
        <w:tblBorders>
          <w:top w:val="single" w:sz="6" w:space="0" w:color="DFE4EA"/>
          <w:left w:val="single" w:sz="6" w:space="0" w:color="DFE4EA"/>
          <w:bottom w:val="single" w:sz="6" w:space="0" w:color="DFE4EA"/>
          <w:right w:val="single" w:sz="6" w:space="0" w:color="DFE4EA"/>
        </w:tblBorders>
        <w:shd w:val="clear" w:color="auto" w:fill="FFFFFF"/>
        <w:tblCellMar>
          <w:top w:w="15" w:type="dxa"/>
          <w:left w:w="15" w:type="dxa"/>
          <w:bottom w:w="15" w:type="dxa"/>
          <w:right w:w="15" w:type="dxa"/>
        </w:tblCellMar>
        <w:tblLook w:val="04A0" w:firstRow="1" w:lastRow="0" w:firstColumn="1" w:lastColumn="0" w:noHBand="0" w:noVBand="1"/>
      </w:tblPr>
      <w:tblGrid>
        <w:gridCol w:w="2101"/>
        <w:gridCol w:w="1970"/>
        <w:gridCol w:w="2019"/>
        <w:gridCol w:w="2238"/>
        <w:gridCol w:w="1705"/>
      </w:tblGrid>
      <w:tr w:rsidR="00041E1E" w:rsidRPr="00041E1E" w14:paraId="46634674" w14:textId="77777777" w:rsidTr="00041E1E">
        <w:trPr>
          <w:tblHeader/>
        </w:trPr>
        <w:tc>
          <w:tcPr>
            <w:tcW w:w="2101" w:type="dxa"/>
            <w:tcBorders>
              <w:bottom w:val="single" w:sz="6" w:space="0" w:color="DFE4EA"/>
              <w:right w:val="single" w:sz="6" w:space="0" w:color="DFE4EA"/>
            </w:tcBorders>
            <w:shd w:val="clear" w:color="auto" w:fill="ECEFF3"/>
            <w:tcMar>
              <w:top w:w="120" w:type="dxa"/>
              <w:left w:w="120" w:type="dxa"/>
              <w:bottom w:w="120" w:type="dxa"/>
              <w:right w:w="120" w:type="dxa"/>
            </w:tcMar>
            <w:hideMark/>
          </w:tcPr>
          <w:p w14:paraId="1BBDA391" w14:textId="77777777" w:rsidR="00041E1E" w:rsidRPr="00041E1E" w:rsidRDefault="00041E1E" w:rsidP="00041E1E">
            <w:pPr>
              <w:spacing w:before="300" w:after="180" w:line="240" w:lineRule="atLeast"/>
              <w:jc w:val="center"/>
              <w:rPr>
                <w:rFonts w:ascii="Helvetica Neue" w:eastAsia="Times New Roman" w:hAnsi="Helvetica Neue" w:cs="Times New Roman"/>
                <w:b/>
                <w:bCs/>
                <w:color w:val="1A1E25"/>
                <w:sz w:val="20"/>
                <w:szCs w:val="20"/>
                <w:lang w:eastAsia="ru-RU"/>
              </w:rPr>
            </w:pPr>
            <w:r w:rsidRPr="00041E1E">
              <w:rPr>
                <w:rFonts w:ascii="Helvetica Neue" w:eastAsia="Times New Roman" w:hAnsi="Helvetica Neue" w:cs="Times New Roman"/>
                <w:b/>
                <w:bCs/>
                <w:color w:val="1A1E25"/>
                <w:sz w:val="20"/>
                <w:szCs w:val="20"/>
                <w:lang w:eastAsia="ru-RU"/>
              </w:rPr>
              <w:t>Цель обработки Персональных данных</w:t>
            </w:r>
          </w:p>
        </w:tc>
        <w:tc>
          <w:tcPr>
            <w:tcW w:w="0" w:type="auto"/>
            <w:tcBorders>
              <w:bottom w:val="single" w:sz="6" w:space="0" w:color="DFE4EA"/>
              <w:right w:val="single" w:sz="6" w:space="0" w:color="DFE4EA"/>
            </w:tcBorders>
            <w:shd w:val="clear" w:color="auto" w:fill="ECEFF3"/>
            <w:tcMar>
              <w:top w:w="120" w:type="dxa"/>
              <w:left w:w="120" w:type="dxa"/>
              <w:bottom w:w="120" w:type="dxa"/>
              <w:right w:w="120" w:type="dxa"/>
            </w:tcMar>
            <w:hideMark/>
          </w:tcPr>
          <w:p w14:paraId="5538A7C6" w14:textId="77777777" w:rsidR="00041E1E" w:rsidRPr="00041E1E" w:rsidRDefault="00041E1E" w:rsidP="00041E1E">
            <w:pPr>
              <w:spacing w:before="300" w:after="180" w:line="240" w:lineRule="atLeast"/>
              <w:jc w:val="center"/>
              <w:rPr>
                <w:rFonts w:ascii="Helvetica Neue" w:eastAsia="Times New Roman" w:hAnsi="Helvetica Neue" w:cs="Times New Roman"/>
                <w:b/>
                <w:bCs/>
                <w:color w:val="1A1E25"/>
                <w:sz w:val="20"/>
                <w:szCs w:val="20"/>
                <w:lang w:eastAsia="ru-RU"/>
              </w:rPr>
            </w:pPr>
            <w:r w:rsidRPr="00041E1E">
              <w:rPr>
                <w:rFonts w:ascii="Helvetica Neue" w:eastAsia="Times New Roman" w:hAnsi="Helvetica Neue" w:cs="Times New Roman"/>
                <w:b/>
                <w:bCs/>
                <w:color w:val="1A1E25"/>
                <w:sz w:val="20"/>
                <w:szCs w:val="20"/>
                <w:lang w:eastAsia="ru-RU"/>
              </w:rPr>
              <w:t>Категории субъектов Персональных данных / категории обрабатываемых Персональных данных</w:t>
            </w:r>
          </w:p>
        </w:tc>
        <w:tc>
          <w:tcPr>
            <w:tcW w:w="0" w:type="auto"/>
            <w:tcBorders>
              <w:bottom w:val="single" w:sz="6" w:space="0" w:color="DFE4EA"/>
              <w:right w:val="single" w:sz="6" w:space="0" w:color="DFE4EA"/>
            </w:tcBorders>
            <w:shd w:val="clear" w:color="auto" w:fill="ECEFF3"/>
            <w:tcMar>
              <w:top w:w="120" w:type="dxa"/>
              <w:left w:w="120" w:type="dxa"/>
              <w:bottom w:w="120" w:type="dxa"/>
              <w:right w:w="120" w:type="dxa"/>
            </w:tcMar>
            <w:hideMark/>
          </w:tcPr>
          <w:p w14:paraId="7989364F" w14:textId="77777777" w:rsidR="00041E1E" w:rsidRPr="00041E1E" w:rsidRDefault="00041E1E" w:rsidP="00041E1E">
            <w:pPr>
              <w:spacing w:before="300" w:after="180" w:line="240" w:lineRule="atLeast"/>
              <w:jc w:val="center"/>
              <w:rPr>
                <w:rFonts w:ascii="Helvetica Neue" w:eastAsia="Times New Roman" w:hAnsi="Helvetica Neue" w:cs="Times New Roman"/>
                <w:b/>
                <w:bCs/>
                <w:color w:val="1A1E25"/>
                <w:sz w:val="20"/>
                <w:szCs w:val="20"/>
                <w:lang w:eastAsia="ru-RU"/>
              </w:rPr>
            </w:pPr>
            <w:r w:rsidRPr="00041E1E">
              <w:rPr>
                <w:rFonts w:ascii="Helvetica Neue" w:eastAsia="Times New Roman" w:hAnsi="Helvetica Neue" w:cs="Times New Roman"/>
                <w:b/>
                <w:bCs/>
                <w:color w:val="1A1E25"/>
                <w:sz w:val="20"/>
                <w:szCs w:val="20"/>
                <w:lang w:eastAsia="ru-RU"/>
              </w:rPr>
              <w:t>Перечень обрабатываемых Персональных данных:</w:t>
            </w:r>
          </w:p>
        </w:tc>
        <w:tc>
          <w:tcPr>
            <w:tcW w:w="2238" w:type="dxa"/>
            <w:tcBorders>
              <w:bottom w:val="single" w:sz="6" w:space="0" w:color="DFE4EA"/>
              <w:right w:val="single" w:sz="6" w:space="0" w:color="DFE4EA"/>
            </w:tcBorders>
            <w:shd w:val="clear" w:color="auto" w:fill="ECEFF3"/>
            <w:tcMar>
              <w:top w:w="120" w:type="dxa"/>
              <w:left w:w="120" w:type="dxa"/>
              <w:bottom w:w="120" w:type="dxa"/>
              <w:right w:w="120" w:type="dxa"/>
            </w:tcMar>
            <w:hideMark/>
          </w:tcPr>
          <w:p w14:paraId="1FF57DAC" w14:textId="77777777" w:rsidR="00041E1E" w:rsidRPr="00041E1E" w:rsidRDefault="00041E1E" w:rsidP="00041E1E">
            <w:pPr>
              <w:spacing w:before="300" w:after="180" w:line="240" w:lineRule="atLeast"/>
              <w:jc w:val="center"/>
              <w:rPr>
                <w:rFonts w:ascii="Helvetica Neue" w:eastAsia="Times New Roman" w:hAnsi="Helvetica Neue" w:cs="Times New Roman"/>
                <w:b/>
                <w:bCs/>
                <w:color w:val="1A1E25"/>
                <w:sz w:val="20"/>
                <w:szCs w:val="20"/>
                <w:lang w:eastAsia="ru-RU"/>
              </w:rPr>
            </w:pPr>
            <w:r w:rsidRPr="00041E1E">
              <w:rPr>
                <w:rFonts w:ascii="Helvetica Neue" w:eastAsia="Times New Roman" w:hAnsi="Helvetica Neue" w:cs="Times New Roman"/>
                <w:b/>
                <w:bCs/>
                <w:color w:val="1A1E25"/>
                <w:sz w:val="20"/>
                <w:szCs w:val="20"/>
                <w:lang w:eastAsia="ru-RU"/>
              </w:rPr>
              <w:t>Способы обработки Персональных данных</w:t>
            </w:r>
          </w:p>
        </w:tc>
        <w:tc>
          <w:tcPr>
            <w:tcW w:w="1705" w:type="dxa"/>
            <w:tcBorders>
              <w:bottom w:val="single" w:sz="6" w:space="0" w:color="DFE4EA"/>
            </w:tcBorders>
            <w:shd w:val="clear" w:color="auto" w:fill="ECEFF3"/>
            <w:tcMar>
              <w:top w:w="120" w:type="dxa"/>
              <w:left w:w="120" w:type="dxa"/>
              <w:bottom w:w="120" w:type="dxa"/>
              <w:right w:w="120" w:type="dxa"/>
            </w:tcMar>
            <w:hideMark/>
          </w:tcPr>
          <w:p w14:paraId="27E2E476" w14:textId="77777777" w:rsidR="00041E1E" w:rsidRPr="00041E1E" w:rsidRDefault="00041E1E" w:rsidP="00041E1E">
            <w:pPr>
              <w:spacing w:before="300" w:after="180" w:line="240" w:lineRule="atLeast"/>
              <w:jc w:val="center"/>
              <w:rPr>
                <w:rFonts w:ascii="Helvetica Neue" w:eastAsia="Times New Roman" w:hAnsi="Helvetica Neue" w:cs="Times New Roman"/>
                <w:b/>
                <w:bCs/>
                <w:color w:val="1A1E25"/>
                <w:sz w:val="20"/>
                <w:szCs w:val="20"/>
                <w:lang w:eastAsia="ru-RU"/>
              </w:rPr>
            </w:pPr>
            <w:r w:rsidRPr="00041E1E">
              <w:rPr>
                <w:rFonts w:ascii="Helvetica Neue" w:eastAsia="Times New Roman" w:hAnsi="Helvetica Neue" w:cs="Times New Roman"/>
                <w:b/>
                <w:bCs/>
                <w:color w:val="1A1E25"/>
                <w:sz w:val="20"/>
                <w:szCs w:val="20"/>
                <w:lang w:eastAsia="ru-RU"/>
              </w:rPr>
              <w:t>Срок обработки и хранения Персональных данных и порядок их уничтожения</w:t>
            </w:r>
          </w:p>
        </w:tc>
      </w:tr>
      <w:tr w:rsidR="00041E1E" w:rsidRPr="00041E1E" w14:paraId="61D0380C" w14:textId="77777777" w:rsidTr="00041E1E">
        <w:tc>
          <w:tcPr>
            <w:tcW w:w="2101" w:type="dxa"/>
            <w:tcBorders>
              <w:right w:val="single" w:sz="6" w:space="0" w:color="DFE4EA"/>
            </w:tcBorders>
            <w:shd w:val="clear" w:color="auto" w:fill="FFFFFF"/>
            <w:tcMar>
              <w:top w:w="120" w:type="dxa"/>
              <w:left w:w="120" w:type="dxa"/>
              <w:bottom w:w="120" w:type="dxa"/>
              <w:right w:w="120" w:type="dxa"/>
            </w:tcMar>
            <w:hideMark/>
          </w:tcPr>
          <w:p w14:paraId="6992A3D5"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Регистрация и идентификация Участника азартной игры, подтверждение его личности и защита данных при подозрении на совершение мошеннических действий от его имени в соответствии с требованиями применимого законодательства</w:t>
            </w:r>
          </w:p>
        </w:tc>
        <w:tc>
          <w:tcPr>
            <w:tcW w:w="0" w:type="auto"/>
            <w:tcBorders>
              <w:right w:val="single" w:sz="6" w:space="0" w:color="DFE4EA"/>
            </w:tcBorders>
            <w:shd w:val="clear" w:color="auto" w:fill="FFFFFF"/>
            <w:tcMar>
              <w:top w:w="120" w:type="dxa"/>
              <w:left w:w="120" w:type="dxa"/>
              <w:bottom w:w="120" w:type="dxa"/>
              <w:right w:w="120" w:type="dxa"/>
            </w:tcMar>
            <w:hideMark/>
          </w:tcPr>
          <w:p w14:paraId="39A41E76"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right w:val="single" w:sz="6" w:space="0" w:color="DFE4EA"/>
            </w:tcBorders>
            <w:shd w:val="clear" w:color="auto" w:fill="FFFFFF"/>
            <w:tcMar>
              <w:top w:w="120" w:type="dxa"/>
              <w:left w:w="120" w:type="dxa"/>
              <w:bottom w:w="120" w:type="dxa"/>
              <w:right w:w="120" w:type="dxa"/>
            </w:tcMar>
            <w:hideMark/>
          </w:tcPr>
          <w:p w14:paraId="683166E9"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Ф. И. О., место рождения, дата рождения, данные документа, удостоверяющего личность, в том числе, но не ограничиваясь: адрес места жительства (регистрации) или места пребывания, дата выдачи документа, удостоверяющего личность, наименование органа, выдавшего документ, удостоверяющий личность, номер подразделения, ИНН, номер </w:t>
            </w:r>
            <w:r w:rsidRPr="00041E1E">
              <w:rPr>
                <w:rFonts w:ascii="Helvetica Neue" w:eastAsia="Times New Roman" w:hAnsi="Helvetica Neue" w:cs="Times New Roman"/>
                <w:color w:val="1A1E25"/>
                <w:sz w:val="20"/>
                <w:szCs w:val="20"/>
                <w:lang w:eastAsia="ru-RU"/>
              </w:rPr>
              <w:lastRenderedPageBreak/>
              <w:t>СНИЛС, данные миграционной карты (а именно номер, дата начала срока пребывания и дата окончания срока пребывания), данные документа, подтверждающего право иностранного гражданина на пребывание (проживание) в Российской Федерации (а именно серия и номер документа, дата начала срока пребывания и дата окончания срока пребывания иностранного лица или лица без гражданства), контактный номер телефона, адрес электронной почты</w:t>
            </w:r>
          </w:p>
        </w:tc>
        <w:tc>
          <w:tcPr>
            <w:tcW w:w="2238" w:type="dxa"/>
            <w:tcBorders>
              <w:right w:val="single" w:sz="6" w:space="0" w:color="DFE4EA"/>
            </w:tcBorders>
            <w:shd w:val="clear" w:color="auto" w:fill="FFFFFF"/>
            <w:tcMar>
              <w:top w:w="120" w:type="dxa"/>
              <w:left w:w="120" w:type="dxa"/>
              <w:bottom w:w="120" w:type="dxa"/>
              <w:right w:w="120" w:type="dxa"/>
            </w:tcMar>
            <w:hideMark/>
          </w:tcPr>
          <w:p w14:paraId="4A45F4E0"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Автоматизированная обработка и обработка без использования средств автоматизации</w:t>
            </w:r>
          </w:p>
        </w:tc>
        <w:tc>
          <w:tcPr>
            <w:tcW w:w="1705" w:type="dxa"/>
            <w:shd w:val="clear" w:color="auto" w:fill="FFFFFF"/>
            <w:tcMar>
              <w:top w:w="120" w:type="dxa"/>
              <w:left w:w="120" w:type="dxa"/>
              <w:bottom w:w="120" w:type="dxa"/>
              <w:right w:w="120" w:type="dxa"/>
            </w:tcMar>
            <w:hideMark/>
          </w:tcPr>
          <w:p w14:paraId="78D0155B"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До достижения цели обработки или до получения отзыва согласия на обработку Персональных данных. Персональные данные уничтожаются в течение 30 дней с момента достижения целей обработки или получения отзыва согласия*</w:t>
            </w:r>
          </w:p>
        </w:tc>
      </w:tr>
      <w:tr w:rsidR="00041E1E" w:rsidRPr="00041E1E" w14:paraId="5B7F3381"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0C030518"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Осуществление сбора и передачи сведений в ООО НКО «Мобильная карта» для дальнейшего приема на обслуживание, идентификации или упрощенной идентификации в </w:t>
            </w:r>
            <w:r w:rsidRPr="00041E1E">
              <w:rPr>
                <w:rFonts w:ascii="Helvetica Neue" w:eastAsia="Times New Roman" w:hAnsi="Helvetica Neue" w:cs="Times New Roman"/>
                <w:color w:val="1A1E25"/>
                <w:sz w:val="20"/>
                <w:szCs w:val="20"/>
                <w:lang w:eastAsia="ru-RU"/>
              </w:rPr>
              <w:lastRenderedPageBreak/>
              <w:t>ООО НКО «Мобильная карта»</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6AE7304D"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4234D7DC"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Ф. И. О., место рождения, дата рождения, данные документа, удостоверяющего личность, в том числе, но не ограничиваясь: адрес места жительства (регистрации) или места пребывания, дата </w:t>
            </w:r>
            <w:r w:rsidRPr="00041E1E">
              <w:rPr>
                <w:rFonts w:ascii="Helvetica Neue" w:eastAsia="Times New Roman" w:hAnsi="Helvetica Neue" w:cs="Times New Roman"/>
                <w:color w:val="1A1E25"/>
                <w:sz w:val="20"/>
                <w:szCs w:val="20"/>
                <w:lang w:eastAsia="ru-RU"/>
              </w:rPr>
              <w:lastRenderedPageBreak/>
              <w:t>выдачи документа, удостоверяющего личность, наименование органа, выдавшего документ, удостоверяющий личность, номер подразделения, ИНН, номер СНИЛС, данные миграционной карты (а именно номер, дата начала срока пребывания и дата окончания срока пребывания), данные документа, подтверждающего право иностранного гражданина на пребывание (проживание) в Российской Федерации (а именно серия и номер документа, дата начала срока пребывания и дата окончания срока пребывания иностранного лица или лица без гражданства),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0049DD54"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2CBCA128"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До достижения цели обработки или до получения отзыва согласия на обработку Персональных данных. Персональные данные уничтожаются в течение 30 </w:t>
            </w:r>
            <w:r w:rsidRPr="00041E1E">
              <w:rPr>
                <w:rFonts w:ascii="Helvetica Neue" w:eastAsia="Times New Roman" w:hAnsi="Helvetica Neue" w:cs="Times New Roman"/>
                <w:color w:val="1A1E25"/>
                <w:sz w:val="20"/>
                <w:szCs w:val="20"/>
                <w:lang w:eastAsia="ru-RU"/>
              </w:rPr>
              <w:lastRenderedPageBreak/>
              <w:t>дней с момента достижения целей обработки или получения отзыва согласия*</w:t>
            </w:r>
          </w:p>
        </w:tc>
      </w:tr>
      <w:tr w:rsidR="00041E1E" w:rsidRPr="00041E1E" w14:paraId="1B0976BF"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39E7B807"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Выпуск и дальнейшее использование персональной карты участника азартных игр</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098BA80F"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4DBAEDD0"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Ф. И. О., место рождения, дата рождения, данные документа, удостоверяющего личность, в том числе, но не ограничиваясь: адрес места жительства (регистрации) или места пребывания, дата выдачи документа, удостоверяющего личность, наименование органа, выдавшего документ, удостоверяющий личность, номер подразделения, ИНН, номер СНИЛС, данные миграционной карты (а именно номер, дата начала срока пребывания и дата окончания срока пребывания), данные документа, подтверждающего право иностранного гражданина на пребывание (проживание) в Российской Федерации (а именно серия и номер документа, дата начала срока </w:t>
            </w:r>
            <w:r w:rsidRPr="00041E1E">
              <w:rPr>
                <w:rFonts w:ascii="Helvetica Neue" w:eastAsia="Times New Roman" w:hAnsi="Helvetica Neue" w:cs="Times New Roman"/>
                <w:color w:val="1A1E25"/>
                <w:sz w:val="20"/>
                <w:szCs w:val="20"/>
                <w:lang w:eastAsia="ru-RU"/>
              </w:rPr>
              <w:lastRenderedPageBreak/>
              <w:t>пребывания и дата окончания срока пребывания иностранного лица или лица без гражданства),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17421E68"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5E952717"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До достижения цели обработки или до получения отзыва согласия на обработку Персональных данных. Персональные данные уничтожаются в течение 30 дней с момента достижения целей обработки или получения отзыва согласия*</w:t>
            </w:r>
          </w:p>
        </w:tc>
      </w:tr>
      <w:tr w:rsidR="00041E1E" w:rsidRPr="00041E1E" w14:paraId="6315CB33"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551D4B9C"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Осуществление обращений, поддержания связи по телефону, отправки SMS-сообщений и электронных писем для информирования о новостях, мероприятиях, акциях, результатах их проведения, а также осуществление опросов с целью изучения мнения о предоставляемых услугах</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5FEA91C9"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44E7BE5C"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Ф. И. О.,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097EB04F"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5C3E74DB"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До достижения цели обработки или до получения отзыва согласия на обработку Персональных данных. Персональные данные уничтожаются в течение 30 дней с момента достижения целей обработки или получения отзыва согласия*</w:t>
            </w:r>
          </w:p>
        </w:tc>
      </w:tr>
      <w:tr w:rsidR="00041E1E" w:rsidRPr="00041E1E" w14:paraId="2CEB208F"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562154F8"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Обработка Персональных данных в маркетинговых целях, в том числе, но не ограничиваясь: осуществления рекламных рассылок о предлагаемых </w:t>
            </w:r>
            <w:r w:rsidRPr="00041E1E">
              <w:rPr>
                <w:rFonts w:ascii="Helvetica Neue" w:eastAsia="Times New Roman" w:hAnsi="Helvetica Neue" w:cs="Times New Roman"/>
                <w:color w:val="1A1E25"/>
                <w:sz w:val="20"/>
                <w:szCs w:val="20"/>
                <w:lang w:eastAsia="ru-RU"/>
              </w:rPr>
              <w:lastRenderedPageBreak/>
              <w:t>Обществом услугах и акциях, в том числе путем осуществления прямых контактов с субъектом</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57C58815"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50026D3D"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Ф. И. О.,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08258E50"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23D13BAD"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До достижения цели обработки или до получения отзыва согласия на обработку Персональных данных. Персональные данные </w:t>
            </w:r>
            <w:r w:rsidRPr="00041E1E">
              <w:rPr>
                <w:rFonts w:ascii="Helvetica Neue" w:eastAsia="Times New Roman" w:hAnsi="Helvetica Neue" w:cs="Times New Roman"/>
                <w:color w:val="1A1E25"/>
                <w:sz w:val="20"/>
                <w:szCs w:val="20"/>
                <w:lang w:eastAsia="ru-RU"/>
              </w:rPr>
              <w:lastRenderedPageBreak/>
              <w:t>уничтожаются в течение 30 дней с момента достижения целей обработки или получения отзыва согласия*</w:t>
            </w:r>
          </w:p>
        </w:tc>
      </w:tr>
      <w:tr w:rsidR="00041E1E" w:rsidRPr="00041E1E" w14:paraId="39FE9AE0"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534CD714"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Получение информации о действиях, совершаемых в Личном кабинете Участника азартной игры для обеспечения безопасности, противодействия мошеннической и иной незаконной деятельности, направления сообщений информационного характера</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45E3FEE5"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56B66EDB"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Ф. И. О., место рождения, дата рождения, данные документа, удостоверяющего личность, в том числе, но не ограничиваясь: адрес места жительства (регистрации) или места пребывания, дата выдачи документа, удостоверяющего личность, наименование органа, выдавшего документ, удостоверяющий личность, номер подразделения, ИНН, номер СНИЛС, данные миграционной карты (а именно номер, дата начала срока пребывания и дата окончания срока пребывания), данные </w:t>
            </w:r>
            <w:r w:rsidRPr="00041E1E">
              <w:rPr>
                <w:rFonts w:ascii="Helvetica Neue" w:eastAsia="Times New Roman" w:hAnsi="Helvetica Neue" w:cs="Times New Roman"/>
                <w:color w:val="1A1E25"/>
                <w:sz w:val="20"/>
                <w:szCs w:val="20"/>
                <w:lang w:eastAsia="ru-RU"/>
              </w:rPr>
              <w:lastRenderedPageBreak/>
              <w:t>документа, подтверждающего право иностранного гражданина на пребывание (проживание) в Российской Федерации (а именно серия и номер документа, дата начала срока пребывания и дата окончания срока пребывания иностранного лица или лица без гражданства),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2FC7B554"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1B843554"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До достижения цели обработки или до получения отзыва согласия на обработку Персональных данных. Персональные данные уничтожаются в течение 30 дней с момента достижения целей обработки или получения отзыва согласия*</w:t>
            </w:r>
          </w:p>
        </w:tc>
      </w:tr>
      <w:tr w:rsidR="00041E1E" w:rsidRPr="00041E1E" w14:paraId="350E6C00"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77886886"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Осуществление прав и обязанностей Общества по заключенным договорам, в том числе учета переводов ставок, интерактивных ставок, выигрышей по ним</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471EE520"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0748CDA0" w14:textId="77777777" w:rsidR="00041E1E" w:rsidRPr="00041E1E" w:rsidRDefault="00041E1E" w:rsidP="00041E1E">
            <w:pPr>
              <w:spacing w:before="300" w:after="180" w:line="240" w:lineRule="atLeast"/>
              <w:ind w:hanging="665"/>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Ф. И. О., место рождения, дата рождения, данные документа, удостоверяющего личность, в том числе, но не ограничиваясь: адрес места жительства (регистрации) или места пребывания, дата выдачи документа, удостоверяющего личность, наименование органа, выдавшего документ, удостоверяющий личность, номер </w:t>
            </w:r>
            <w:r w:rsidRPr="00041E1E">
              <w:rPr>
                <w:rFonts w:ascii="Helvetica Neue" w:eastAsia="Times New Roman" w:hAnsi="Helvetica Neue" w:cs="Times New Roman"/>
                <w:color w:val="1A1E25"/>
                <w:sz w:val="20"/>
                <w:szCs w:val="20"/>
                <w:lang w:eastAsia="ru-RU"/>
              </w:rPr>
              <w:lastRenderedPageBreak/>
              <w:t>подразделения, ИНН, номер СНИЛС, данные миграционной карты (а именно номер, дата начала срока пребывания и дата окончания срока пребывания), данные документа, подтверждающего право иностранного гражданина на пребывание (проживание) в Российской Федерации (а именно серия и номер документа, дата начала срока пребывания и дата окончания срока пребывания иностранного лица или лица без гражданства),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0F05342B"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55AEFC35"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До достижения цели обработки или до получения отзыва согласия на обработку Персональных данных. Персональные данные уничтожаются в течение 30 дней с момента достижения целей обработки или получения отзыва согласия*</w:t>
            </w:r>
          </w:p>
        </w:tc>
      </w:tr>
      <w:tr w:rsidR="00041E1E" w:rsidRPr="00041E1E" w14:paraId="041274B0"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05520150"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Улучшение работы Сайта и Мобильного приложения Общества, а также качества предоставляемых услуг</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36090E37"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147317A5"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Ф. И. О., место рождения, дата рождения,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1E5EC93E"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355B211F"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До достижения цели обработки или до получения отзыва согласия на обработку Персональных данных. Персональные данные </w:t>
            </w:r>
            <w:r w:rsidRPr="00041E1E">
              <w:rPr>
                <w:rFonts w:ascii="Helvetica Neue" w:eastAsia="Times New Roman" w:hAnsi="Helvetica Neue" w:cs="Times New Roman"/>
                <w:color w:val="1A1E25"/>
                <w:sz w:val="20"/>
                <w:szCs w:val="20"/>
                <w:lang w:eastAsia="ru-RU"/>
              </w:rPr>
              <w:lastRenderedPageBreak/>
              <w:t>уничтожаются в течение 30 дней с момента достижения целей обработки или получения отзыва согласия*</w:t>
            </w:r>
          </w:p>
        </w:tc>
      </w:tr>
      <w:tr w:rsidR="00041E1E" w:rsidRPr="00041E1E" w14:paraId="2EF1F77F" w14:textId="77777777" w:rsidTr="00041E1E">
        <w:tc>
          <w:tcPr>
            <w:tcW w:w="2101"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53132FEB"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Осуществление и выполнение возложенных применимым законодательством на Общество функций, полномочий и обязанностей</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22223C1D"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Участники азартных игр / иные Персональные данные</w:t>
            </w:r>
          </w:p>
        </w:tc>
        <w:tc>
          <w:tcPr>
            <w:tcW w:w="0" w:type="auto"/>
            <w:tcBorders>
              <w:top w:val="single" w:sz="6" w:space="0" w:color="DDDDDD"/>
              <w:right w:val="single" w:sz="6" w:space="0" w:color="DFE4EA"/>
            </w:tcBorders>
            <w:shd w:val="clear" w:color="auto" w:fill="FFFFFF"/>
            <w:tcMar>
              <w:top w:w="120" w:type="dxa"/>
              <w:left w:w="120" w:type="dxa"/>
              <w:bottom w:w="120" w:type="dxa"/>
              <w:right w:w="120" w:type="dxa"/>
            </w:tcMar>
            <w:hideMark/>
          </w:tcPr>
          <w:p w14:paraId="1668F409"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 xml:space="preserve">Ф. И. О., место рождения, дата рождения, данные документа, удостоверяющего личность, в том числе, но не ограничиваясь: адрес места жительства (регистрации) или места пребывания, дата выдачи документа, удостоверяющего личность, наименование органа, выдавшего документ, удостоверяющий личность, номер подразделения, ИНН, номер СНИЛС, данные миграционной карты (а именно номер, дата начала срока пребывания и дата окончания срока пребывания), данные </w:t>
            </w:r>
            <w:r w:rsidRPr="00041E1E">
              <w:rPr>
                <w:rFonts w:ascii="Helvetica Neue" w:eastAsia="Times New Roman" w:hAnsi="Helvetica Neue" w:cs="Times New Roman"/>
                <w:color w:val="1A1E25"/>
                <w:sz w:val="20"/>
                <w:szCs w:val="20"/>
                <w:lang w:eastAsia="ru-RU"/>
              </w:rPr>
              <w:lastRenderedPageBreak/>
              <w:t>документа, подтверждающего право иностранного гражданина на пребывание (проживание) в Российской Федерации (а именно серия и номер документа, дата начала срока пребывания и дата окончания срока пребывания иностранного лица или лица без гражданства), контактный номер телефона, адрес электронной почты</w:t>
            </w:r>
          </w:p>
        </w:tc>
        <w:tc>
          <w:tcPr>
            <w:tcW w:w="2238" w:type="dxa"/>
            <w:tcBorders>
              <w:top w:val="single" w:sz="6" w:space="0" w:color="DDDDDD"/>
              <w:right w:val="single" w:sz="6" w:space="0" w:color="DFE4EA"/>
            </w:tcBorders>
            <w:shd w:val="clear" w:color="auto" w:fill="FFFFFF"/>
            <w:tcMar>
              <w:top w:w="120" w:type="dxa"/>
              <w:left w:w="120" w:type="dxa"/>
              <w:bottom w:w="120" w:type="dxa"/>
              <w:right w:w="120" w:type="dxa"/>
            </w:tcMar>
            <w:hideMark/>
          </w:tcPr>
          <w:p w14:paraId="5366CC65"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lastRenderedPageBreak/>
              <w:t>Автоматизированная обработка и обработка без использования средств автоматизации</w:t>
            </w:r>
          </w:p>
        </w:tc>
        <w:tc>
          <w:tcPr>
            <w:tcW w:w="1705" w:type="dxa"/>
            <w:tcBorders>
              <w:top w:val="single" w:sz="6" w:space="0" w:color="DDDDDD"/>
            </w:tcBorders>
            <w:shd w:val="clear" w:color="auto" w:fill="FFFFFF"/>
            <w:tcMar>
              <w:top w:w="120" w:type="dxa"/>
              <w:left w:w="120" w:type="dxa"/>
              <w:bottom w:w="120" w:type="dxa"/>
              <w:right w:w="120" w:type="dxa"/>
            </w:tcMar>
            <w:hideMark/>
          </w:tcPr>
          <w:p w14:paraId="29BC1157" w14:textId="77777777" w:rsidR="00041E1E" w:rsidRPr="00041E1E" w:rsidRDefault="00041E1E" w:rsidP="00041E1E">
            <w:pPr>
              <w:spacing w:before="300" w:after="180" w:line="240" w:lineRule="atLeast"/>
              <w:jc w:val="center"/>
              <w:rPr>
                <w:rFonts w:ascii="Helvetica Neue" w:eastAsia="Times New Roman" w:hAnsi="Helvetica Neue" w:cs="Times New Roman"/>
                <w:color w:val="1A1E25"/>
                <w:sz w:val="20"/>
                <w:szCs w:val="20"/>
                <w:lang w:eastAsia="ru-RU"/>
              </w:rPr>
            </w:pPr>
            <w:r w:rsidRPr="00041E1E">
              <w:rPr>
                <w:rFonts w:ascii="Helvetica Neue" w:eastAsia="Times New Roman" w:hAnsi="Helvetica Neue" w:cs="Times New Roman"/>
                <w:color w:val="1A1E25"/>
                <w:sz w:val="20"/>
                <w:szCs w:val="20"/>
                <w:lang w:eastAsia="ru-RU"/>
              </w:rPr>
              <w:t>До достижения цели обработки или до получения отзыва согласия на обработку Персональных данных. Персональные данные уничтожаются в течение 30 дней с момента достижения целей обработки или получения отзыва согласия*</w:t>
            </w:r>
          </w:p>
        </w:tc>
      </w:tr>
    </w:tbl>
    <w:p w14:paraId="13B08228"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Персональные данные могут обрабатываться и храниться дольше указанного срока, если это необходимо согласно действующему законодательству Российской Федерации.</w:t>
      </w:r>
    </w:p>
    <w:p w14:paraId="757DE2CA"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Общество также может обрабатывать иную информацию, такую как:</w:t>
      </w:r>
    </w:p>
    <w:p w14:paraId="79724A4D" w14:textId="77777777" w:rsidR="00041E1E" w:rsidRPr="00041E1E" w:rsidRDefault="00041E1E" w:rsidP="00041E1E">
      <w:pPr>
        <w:numPr>
          <w:ilvl w:val="0"/>
          <w:numId w:val="3"/>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данные о </w:t>
      </w:r>
      <w:proofErr w:type="spellStart"/>
      <w:r w:rsidRPr="00041E1E">
        <w:rPr>
          <w:rFonts w:ascii="Helvetica Neue" w:eastAsia="Times New Roman" w:hAnsi="Helvetica Neue" w:cs="Times New Roman"/>
          <w:color w:val="1A1E25"/>
          <w:sz w:val="21"/>
          <w:szCs w:val="21"/>
          <w:lang w:eastAsia="ru-RU"/>
        </w:rPr>
        <w:t>геолокации</w:t>
      </w:r>
      <w:proofErr w:type="spellEnd"/>
      <w:r w:rsidRPr="00041E1E">
        <w:rPr>
          <w:rFonts w:ascii="Helvetica Neue" w:eastAsia="Times New Roman" w:hAnsi="Helvetica Neue" w:cs="Times New Roman"/>
          <w:color w:val="1A1E25"/>
          <w:sz w:val="21"/>
          <w:szCs w:val="21"/>
          <w:lang w:eastAsia="ru-RU"/>
        </w:rPr>
        <w:t xml:space="preserve"> мобильного устройства Участника азартных игр (при условии получения согласия Участника азартных игр на предоставление таких данных в Мобильном приложении);</w:t>
      </w:r>
    </w:p>
    <w:p w14:paraId="309973F8" w14:textId="77777777" w:rsidR="00041E1E" w:rsidRPr="00041E1E" w:rsidRDefault="00041E1E" w:rsidP="00041E1E">
      <w:pPr>
        <w:numPr>
          <w:ilvl w:val="0"/>
          <w:numId w:val="3"/>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технические данные: данные об аппаратном и программном обеспечении устройства Участника азартных игр, имя устройства Участника азартных игр, публичные IP-адреса, </w:t>
      </w:r>
      <w:proofErr w:type="spellStart"/>
      <w:r w:rsidRPr="00041E1E">
        <w:rPr>
          <w:rFonts w:ascii="Helvetica Neue" w:eastAsia="Times New Roman" w:hAnsi="Helvetica Neue" w:cs="Times New Roman"/>
          <w:color w:val="1A1E25"/>
          <w:sz w:val="21"/>
          <w:szCs w:val="21"/>
          <w:lang w:eastAsia="ru-RU"/>
        </w:rPr>
        <w:t>cookie</w:t>
      </w:r>
      <w:proofErr w:type="spellEnd"/>
      <w:r w:rsidRPr="00041E1E">
        <w:rPr>
          <w:rFonts w:ascii="Helvetica Neue" w:eastAsia="Times New Roman" w:hAnsi="Helvetica Neue" w:cs="Times New Roman"/>
          <w:color w:val="1A1E25"/>
          <w:sz w:val="21"/>
          <w:szCs w:val="21"/>
          <w:lang w:eastAsia="ru-RU"/>
        </w:rPr>
        <w:t>, данные об идентификаторе браузера.</w:t>
      </w:r>
    </w:p>
    <w:p w14:paraId="0A02BEA6"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Подробнее об использовании Обществом файлов </w:t>
      </w:r>
      <w:proofErr w:type="spellStart"/>
      <w:r w:rsidRPr="00041E1E">
        <w:rPr>
          <w:rFonts w:ascii="Helvetica Neue" w:eastAsia="Times New Roman" w:hAnsi="Helvetica Neue" w:cs="Times New Roman"/>
          <w:color w:val="1A1E25"/>
          <w:sz w:val="21"/>
          <w:szCs w:val="21"/>
          <w:lang w:eastAsia="ru-RU"/>
        </w:rPr>
        <w:t>cookie</w:t>
      </w:r>
      <w:proofErr w:type="spellEnd"/>
      <w:r w:rsidRPr="00041E1E">
        <w:rPr>
          <w:rFonts w:ascii="Helvetica Neue" w:eastAsia="Times New Roman" w:hAnsi="Helvetica Neue" w:cs="Times New Roman"/>
          <w:color w:val="1A1E25"/>
          <w:sz w:val="21"/>
          <w:szCs w:val="21"/>
          <w:lang w:eastAsia="ru-RU"/>
        </w:rPr>
        <w:t xml:space="preserve"> смотрите </w:t>
      </w:r>
      <w:hyperlink r:id="rId5" w:history="1">
        <w:r w:rsidRPr="00041E1E">
          <w:rPr>
            <w:rFonts w:ascii="Helvetica Neue" w:eastAsia="Times New Roman" w:hAnsi="Helvetica Neue" w:cs="Times New Roman"/>
            <w:color w:val="305076"/>
            <w:sz w:val="21"/>
            <w:szCs w:val="21"/>
            <w:u w:val="single"/>
            <w:lang w:eastAsia="ru-RU"/>
          </w:rPr>
          <w:t xml:space="preserve">в Политике </w:t>
        </w:r>
        <w:proofErr w:type="spellStart"/>
        <w:r w:rsidRPr="00041E1E">
          <w:rPr>
            <w:rFonts w:ascii="Helvetica Neue" w:eastAsia="Times New Roman" w:hAnsi="Helvetica Neue" w:cs="Times New Roman"/>
            <w:color w:val="305076"/>
            <w:sz w:val="21"/>
            <w:szCs w:val="21"/>
            <w:u w:val="single"/>
            <w:lang w:eastAsia="ru-RU"/>
          </w:rPr>
          <w:t>cookies</w:t>
        </w:r>
        <w:proofErr w:type="spellEnd"/>
      </w:hyperlink>
      <w:r w:rsidRPr="00041E1E">
        <w:rPr>
          <w:rFonts w:ascii="Helvetica Neue" w:eastAsia="Times New Roman" w:hAnsi="Helvetica Neue" w:cs="Times New Roman"/>
          <w:color w:val="1A1E25"/>
          <w:sz w:val="21"/>
          <w:szCs w:val="21"/>
          <w:lang w:eastAsia="ru-RU"/>
        </w:rPr>
        <w:t>.</w:t>
      </w:r>
    </w:p>
    <w:p w14:paraId="265899B5"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3.2. Общество не осуществляет сбор и обработку таких категорий Персональных данных, как специальные категории, касающиеся расовой и национальной принадлежности, политических и религиозных взглядов, интимной жизни Участника азартных игр.</w:t>
      </w:r>
    </w:p>
    <w:p w14:paraId="300D7F75"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4. Правовые основания обработки Персональных данных</w:t>
      </w:r>
    </w:p>
    <w:p w14:paraId="10DF8905"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lastRenderedPageBreak/>
        <w:t>4.1. Общество обрабатывает Персональные данные Участника азартных игр только на законных основаниях, а именно по одному из следующих применимых к определенной категории Персональных данных оснований:</w:t>
      </w:r>
    </w:p>
    <w:p w14:paraId="6A982C4D" w14:textId="77777777" w:rsidR="00041E1E" w:rsidRPr="00041E1E" w:rsidRDefault="00041E1E" w:rsidP="00041E1E">
      <w:pPr>
        <w:numPr>
          <w:ilvl w:val="0"/>
          <w:numId w:val="4"/>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когда Участником азартных игр было предоставлено добровольное, информированное, конкретное и сознательное согласие на обработку его Персональных данных;</w:t>
      </w:r>
    </w:p>
    <w:p w14:paraId="6AE87B9C" w14:textId="77777777" w:rsidR="00041E1E" w:rsidRPr="00041E1E" w:rsidRDefault="00041E1E" w:rsidP="00041E1E">
      <w:pPr>
        <w:numPr>
          <w:ilvl w:val="0"/>
          <w:numId w:val="4"/>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когда обработка Персональных данных необходима в связи с выполнением обязанностей, возложенных на Общество применимым законодательством;</w:t>
      </w:r>
    </w:p>
    <w:p w14:paraId="73DAF040" w14:textId="77777777" w:rsidR="00041E1E" w:rsidRPr="00041E1E" w:rsidRDefault="00041E1E" w:rsidP="00041E1E">
      <w:pPr>
        <w:numPr>
          <w:ilvl w:val="0"/>
          <w:numId w:val="4"/>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когда обработка Персональных данных необходима для осуществления прав и законных интересов Общества, при условии, что при такой обработке не нарушаются права Участника азартных игр как субъекта Персональных данных и такая обработка не посягает на ключевые законные интересы, права и свободы Участника азартных игр как субъекта Персональных данных;</w:t>
      </w:r>
    </w:p>
    <w:p w14:paraId="313FCCB3" w14:textId="77777777" w:rsidR="00041E1E" w:rsidRPr="00041E1E" w:rsidRDefault="00041E1E" w:rsidP="00041E1E">
      <w:pPr>
        <w:numPr>
          <w:ilvl w:val="0"/>
          <w:numId w:val="4"/>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когда обработка Персональных данных необходима для исполнения договора, стороной которого либо </w:t>
      </w:r>
      <w:proofErr w:type="gramStart"/>
      <w:r w:rsidRPr="00041E1E">
        <w:rPr>
          <w:rFonts w:ascii="Helvetica Neue" w:eastAsia="Times New Roman" w:hAnsi="Helvetica Neue" w:cs="Times New Roman"/>
          <w:color w:val="1A1E25"/>
          <w:sz w:val="21"/>
          <w:szCs w:val="21"/>
          <w:lang w:eastAsia="ru-RU"/>
        </w:rPr>
        <w:t>выгодоприобретателем</w:t>
      </w:r>
      <w:proofErr w:type="gramEnd"/>
      <w:r w:rsidRPr="00041E1E">
        <w:rPr>
          <w:rFonts w:ascii="Helvetica Neue" w:eastAsia="Times New Roman" w:hAnsi="Helvetica Neue" w:cs="Times New Roman"/>
          <w:color w:val="1A1E25"/>
          <w:sz w:val="21"/>
          <w:szCs w:val="21"/>
          <w:lang w:eastAsia="ru-RU"/>
        </w:rPr>
        <w:t xml:space="preserve"> по которому является Участник азартных игр, а также для заключения договора по инициативе Участника азартных игр или договора, по которому Участник азартных игр будет являться выгодоприобретателем.</w:t>
      </w:r>
    </w:p>
    <w:p w14:paraId="779CB5D5"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5. Операции, осуществляемые Обществом с Персональными данными</w:t>
      </w:r>
    </w:p>
    <w:p w14:paraId="51F89F2B"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5.1. В ходе обработки Персональных данных Общество осуществляет следующие операции: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49FF18F3"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6. Принципы обработки и защита Персональных данных Участников азартных игр</w:t>
      </w:r>
    </w:p>
    <w:p w14:paraId="5A6D046F"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6.1. Общество в своей деятельности обеспечивает соблюдение принципов обработки Персональных данных согласно применимому законодательству, в частности:</w:t>
      </w:r>
    </w:p>
    <w:p w14:paraId="234FEE38"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обработка Обществом Персональных данных осуществляется только в соответствии с целями, определившими их получение, при этом Персональные данные, полученные работниками Общества при исполнении ими должностных обязанностей, подлежат защите;</w:t>
      </w:r>
    </w:p>
    <w:p w14:paraId="4C72904B"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в Обществе не допускается объединение баз данных, содержащих различные категории Персональных данных, обработка которых осуществляется в целях, несовместимых между собой;</w:t>
      </w:r>
    </w:p>
    <w:p w14:paraId="62165EB1"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на работников Общества возлагается обязанность по соблюдению конфиденциальности полученной информации, право доступа к Персональным данным имеют ответственные должностные лица (работники Общества) в соответствии с возложенными на них функциональными обязанностями;</w:t>
      </w:r>
    </w:p>
    <w:p w14:paraId="0F3B9727"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 xml:space="preserve">обработка Персональных данных Обществом осуществляется с учетом соответствия объема и характера обрабатываемых Персональных данных, способов обработки Персональных данных целям обработки Персональных данных, достоверности Персональных данных, их достаточности для целей обработки, а в необходимых случаях и актуальности по отношению к целям обработки Персональных данных, недопустимости обработки Персональных данных, избыточной по отношению к целям, заявленным при сборе Персональных данных. Общество принимает </w:t>
      </w:r>
      <w:r w:rsidRPr="00041E1E">
        <w:rPr>
          <w:rFonts w:ascii="Helvetica Neue" w:eastAsia="Times New Roman" w:hAnsi="Helvetica Neue" w:cs="Times New Roman"/>
          <w:color w:val="1A1E25"/>
          <w:sz w:val="21"/>
          <w:szCs w:val="21"/>
          <w:lang w:eastAsia="ru-RU"/>
        </w:rPr>
        <w:lastRenderedPageBreak/>
        <w:t>необходимые меры по удалению или уточнению неполных или неточных данных в соответствии с локальными нормативными актами Общества;</w:t>
      </w:r>
    </w:p>
    <w:p w14:paraId="7C226764"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хранение Персональных данных в Обществе осуществляется в форме, позволяющей определить Участника азартных игр, не дольше, чем этого требуют цели обработки;</w:t>
      </w:r>
    </w:p>
    <w:p w14:paraId="4EE55852"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обработка Персональных данных в целях проведения маркетинговых мероприятий путем осуществления прямых контактов с субъектами Персональных данных с помощью средств связи допускается только при условии получения согласия от субъекта Персональных данных. Общество не размещает Персональные данные Участника азартных игр в общедоступных источниках без его предварительного согласия, полученного по форме и способом, предусмотренными применимым законодательством;</w:t>
      </w:r>
    </w:p>
    <w:p w14:paraId="4F7A1855" w14:textId="77777777" w:rsidR="00041E1E" w:rsidRPr="00041E1E" w:rsidRDefault="00041E1E" w:rsidP="00041E1E">
      <w:pPr>
        <w:numPr>
          <w:ilvl w:val="0"/>
          <w:numId w:val="5"/>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Обществом не принимаются решения, порождающие юридические последствия в отношении Участников азартных игр или иным образом затрагивающие их права и законные интересы, на основании исключительно автоматизированной обработки их Персональных данных.</w:t>
      </w:r>
    </w:p>
    <w:p w14:paraId="1A0446DA"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7. Меры по надлежащей организации обработки и обеспечению безопасности Персональных данных</w:t>
      </w:r>
    </w:p>
    <w:p w14:paraId="311EE819"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7.1. Общество при обработке Персональных данных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w:t>
      </w:r>
    </w:p>
    <w:p w14:paraId="09BAC4D4"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Общество обеспечивает конфиденциальность Персональных данных и принимает достаточные технические, правовые и организационные меры для пресечения неправомерного или случайного доступа к Персональным данным, их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в том числе меры, предусмотренные статьями 18.1 и 19 Федерального закона «О персональных данных» от 27.07.2006 №152-ФЗ, а именно:</w:t>
      </w:r>
    </w:p>
    <w:p w14:paraId="5D1D9FE7"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назначение ответственного лица за организацию обработки и обеспечение безопасности Персональных данных;</w:t>
      </w:r>
    </w:p>
    <w:p w14:paraId="548C452C"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осуществление внутреннего контроля и/или аудита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локальным актам;</w:t>
      </w:r>
    </w:p>
    <w:p w14:paraId="2446842D"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ознакомление работников Общества,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локальными актами в отношении обработки персональных данных, и/или обучение указанных работников;</w:t>
      </w:r>
    </w:p>
    <w:p w14:paraId="404967FF"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определение угроз безопасности Персональных данных при их обработке в информационных системах Персональных данных;</w:t>
      </w:r>
    </w:p>
    <w:p w14:paraId="5B277D93"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14:paraId="15094560"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FB7269B"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учет машинных носителей Персональных данных;</w:t>
      </w:r>
    </w:p>
    <w:p w14:paraId="5050BAA9"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lastRenderedPageBreak/>
        <w:t>выявление фактов несанкционированного доступа к Персональным данным и принятие соответствующих мер;</w:t>
      </w:r>
    </w:p>
    <w:p w14:paraId="4415C1A2"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восстановление Персональных данных, модифицированных или уничтоженных вследствие несанкционированного доступа к ним;</w:t>
      </w:r>
    </w:p>
    <w:p w14:paraId="11B22E55"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w:t>
      </w:r>
    </w:p>
    <w:p w14:paraId="7BA83B7B" w14:textId="77777777" w:rsidR="00041E1E" w:rsidRPr="00041E1E" w:rsidRDefault="00041E1E" w:rsidP="00041E1E">
      <w:pPr>
        <w:numPr>
          <w:ilvl w:val="0"/>
          <w:numId w:val="6"/>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контроль над принимаемыми мерами по обеспечению безопасности Персональных данных.</w:t>
      </w:r>
    </w:p>
    <w:p w14:paraId="7FFEDE42"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Указанные меры осуществляются Обществом с учетом современного уровня техники, стоимости их реализации и соответствующих возможностей Общества по внедрению данных мер, а также рисков, связанных с операциями и характером обрабатываемых Персональных данных Участников азартных игр.</w:t>
      </w:r>
    </w:p>
    <w:p w14:paraId="6FA17E7D"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8. Порядок отзыва согласия и место обработки Персональных данных</w:t>
      </w:r>
    </w:p>
    <w:p w14:paraId="217E6CA2"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8.1. Участник азартных игр вправе отозвать свое согласие на обработку Персональных данных и удалить Персональные данные о себе путем отзыва согласия на обработку Персональных данных с помощью функциональных возможностей, предусмотренных Сайтом или Мобильным приложением, а также написать на почтовый адрес: 109240, Москва, а/я 22 (далее – «Почтовый адрес Общества») с заявлением об отзыве согласия на обработку Персональных данных. В таком случае все Персональные данные Участника азартных игр, за исключением Персональных данных, которые Общество обязано обрабатывать в течение определенного срока согласно применимому законодательству, будут удалены в течение 30 (тридцати) дней с момента получения заявления Участника азартных игр об отзыве согласия на обработку Персональных данных посредством функциональных возможностей Сайта и Мобильного приложения или получения заявления Обществом посредством почтовой связи.</w:t>
      </w:r>
    </w:p>
    <w:p w14:paraId="0A1A59FF"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8.2. Общество осуществляет сбор, запись, систематизацию, накопление, хранение, уточнение (обновление, изменение), извлечение Персональных данных об Участниках азартных игр с использованием баз данных, находящихся на территории Российской Федерации.</w:t>
      </w:r>
    </w:p>
    <w:p w14:paraId="2FFB48A1"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9. Права Участника азартных игр</w:t>
      </w:r>
    </w:p>
    <w:p w14:paraId="561E1CC8"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9.1. С учетом требований применимого законодательства и настоящей Политики Участник азартных игр имеет следующие права:</w:t>
      </w:r>
    </w:p>
    <w:p w14:paraId="5C430BC2" w14:textId="77777777" w:rsidR="00041E1E" w:rsidRPr="00041E1E" w:rsidRDefault="00041E1E" w:rsidP="00041E1E">
      <w:pPr>
        <w:numPr>
          <w:ilvl w:val="0"/>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право на доступ к обрабатываемым Обществом Персональным данным Участника азартных игр, то есть на получение сведений об обрабатываемых Обществом Персональных данных об Участнике азартных игр с помощью функциональных возможностей, предусмотренных Сайтом, или направления письменного запроса на Почтовый адрес Общества, в том числе следующей информации:</w:t>
      </w:r>
    </w:p>
    <w:p w14:paraId="1326E8EC"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 подтверждении факта обработки Персональных данных;</w:t>
      </w:r>
    </w:p>
    <w:p w14:paraId="56C2583C"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 правовых основаниях и целях обработки Персональных данных;</w:t>
      </w:r>
    </w:p>
    <w:p w14:paraId="78BFDFF8"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 способах обработки Персональных данных;</w:t>
      </w:r>
    </w:p>
    <w:p w14:paraId="740015B1"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 наименовании и месте нахождения Общества, о лицах (за исключением работников Общества), которые имеют доступ к Персональным данным или которым могут быть раскрыты Персональные данные на основании договора с Обществом или на основании применимого законодательства;</w:t>
      </w:r>
    </w:p>
    <w:p w14:paraId="424D1705"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lastRenderedPageBreak/>
        <w:t>о Персональных данных Участника азартных игр, обрабатываемых Обществом;</w:t>
      </w:r>
    </w:p>
    <w:p w14:paraId="2278EE10"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 сроках обработки и хранения Персональных данных об Участнике азартных игр;</w:t>
      </w:r>
    </w:p>
    <w:p w14:paraId="1451AE16"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об осуществленной или о предполагаемой трансграничной передаче Персональных данных;</w:t>
      </w:r>
    </w:p>
    <w:p w14:paraId="1C904667"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о наименовании лица, осуществляющего обработку Персональных данных по поручению Общества, если обработка поручена или будет поручена такому лицу;</w:t>
      </w:r>
    </w:p>
    <w:p w14:paraId="65E9B109" w14:textId="77777777" w:rsidR="00041E1E" w:rsidRPr="00041E1E" w:rsidRDefault="00041E1E" w:rsidP="00041E1E">
      <w:pPr>
        <w:numPr>
          <w:ilvl w:val="1"/>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иной информации, обязательной для предоставления Обществом согласно применимому законодательству;</w:t>
      </w:r>
    </w:p>
    <w:p w14:paraId="51399B62" w14:textId="77777777" w:rsidR="00041E1E" w:rsidRPr="00041E1E" w:rsidRDefault="00041E1E" w:rsidP="00041E1E">
      <w:pPr>
        <w:numPr>
          <w:ilvl w:val="0"/>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если Участник азартных игр считает, что какие-либо Персональные данные о нем, обрабатываемые Обществом, являются некорректными или неполными, он имеет право изменить указанные данные о себе с помощью функциональных возможностей Сайта или Мобильного приложения, а в случаях, когда возможность изменить данные самостоятельно отсутствует – путем направления письменного обращения Участника азартных игр непосредственно на Почтовый адрес Общества, если это необходимо согласно требованиям Общества;</w:t>
      </w:r>
    </w:p>
    <w:p w14:paraId="2A0AD4C5" w14:textId="77777777" w:rsidR="00041E1E" w:rsidRPr="00041E1E" w:rsidRDefault="00041E1E" w:rsidP="00041E1E">
      <w:pPr>
        <w:numPr>
          <w:ilvl w:val="0"/>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право требовать от Общества блокирования или уничтожения Персональных данных в случае, если Персональные данные являются незаконно полученными, неточными или не являются необходимыми для заявленной цели обработки, с помощью функциональных возможностей Сайта или Мобильного приложения, а в случаях, когда возможность изменить данные самостоятельно отсутствует – путем направления письменного обращения Участника азартных игр непосредственно на Почтовый адрес Общества, если это необходимо согласно требованиям Общества;</w:t>
      </w:r>
    </w:p>
    <w:p w14:paraId="7C915F0E" w14:textId="77777777" w:rsidR="00041E1E" w:rsidRPr="00041E1E" w:rsidRDefault="00041E1E" w:rsidP="00041E1E">
      <w:pPr>
        <w:numPr>
          <w:ilvl w:val="0"/>
          <w:numId w:val="7"/>
        </w:numPr>
        <w:shd w:val="clear" w:color="auto" w:fill="FFFFFF"/>
        <w:spacing w:before="100" w:beforeAutospacing="1" w:after="100" w:afterAutospacing="1"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право возражать против обработки Персональных данных Участника азартных игр, в том числе обжаловать действия или бездействие Общества путем обращения в уполномоченный орган по защите прав субъектов персональных данных, а также защищать свои права и законные интересы в судебном порядке, требовать возмещения убытков и компенсации морального вреда в результате действий или бездействия Общества в связи с обработкой Персональных данных.</w:t>
      </w:r>
    </w:p>
    <w:p w14:paraId="6FF8A5F4" w14:textId="77777777" w:rsidR="00041E1E" w:rsidRPr="00041E1E" w:rsidRDefault="00041E1E" w:rsidP="00041E1E">
      <w:pPr>
        <w:shd w:val="clear" w:color="auto" w:fill="FFFFFF"/>
        <w:spacing w:before="100" w:beforeAutospacing="1" w:after="180" w:line="420" w:lineRule="atLeast"/>
        <w:outlineLvl w:val="1"/>
        <w:rPr>
          <w:rFonts w:ascii="Helvetica Neue" w:eastAsia="Times New Roman" w:hAnsi="Helvetica Neue" w:cs="Times New Roman"/>
          <w:b/>
          <w:bCs/>
          <w:color w:val="1A1E25"/>
          <w:sz w:val="30"/>
          <w:szCs w:val="30"/>
          <w:lang w:eastAsia="ru-RU"/>
        </w:rPr>
      </w:pPr>
      <w:r w:rsidRPr="00041E1E">
        <w:rPr>
          <w:rFonts w:ascii="Helvetica Neue" w:eastAsia="Times New Roman" w:hAnsi="Helvetica Neue" w:cs="Times New Roman"/>
          <w:b/>
          <w:bCs/>
          <w:color w:val="1A1E25"/>
          <w:sz w:val="30"/>
          <w:szCs w:val="30"/>
          <w:lang w:eastAsia="ru-RU"/>
        </w:rPr>
        <w:t>10. Заключительные положения</w:t>
      </w:r>
    </w:p>
    <w:p w14:paraId="310363DF"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10.1. Настоящая Политика является общедоступной и подлежит размещению на официальном Сайте Общества https://fon.bet.</w:t>
      </w:r>
    </w:p>
    <w:p w14:paraId="6A1B40F2"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10.2. Настоящая Политика может быть изменена Обществом по своему усмотрению, в том числе в связи с внесением изменений в применимое законодательство или изменений в работе Сайта или Мобильного приложения.</w:t>
      </w:r>
    </w:p>
    <w:p w14:paraId="32976313" w14:textId="77777777" w:rsidR="00041E1E" w:rsidRPr="00041E1E" w:rsidRDefault="00041E1E" w:rsidP="00041E1E">
      <w:pPr>
        <w:shd w:val="clear" w:color="auto" w:fill="FFFFFF"/>
        <w:spacing w:before="150" w:after="18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10.3. Общество обязуется уведомить Участников азартных игр в случае существенных изменений Политики, налагающих дополнительные обязанности и обременения на Участников азартных игр, путем соответствующих уведомлений Участников азартных игр посредством Сайта или Мобильного приложения либо иным способом по усмотрению Общества.</w:t>
      </w:r>
    </w:p>
    <w:p w14:paraId="74C09D9A" w14:textId="77777777" w:rsidR="00041E1E" w:rsidRPr="00041E1E" w:rsidRDefault="00041E1E" w:rsidP="00041E1E">
      <w:pPr>
        <w:shd w:val="clear" w:color="auto" w:fill="FFFFFF"/>
        <w:spacing w:before="150" w:line="270" w:lineRule="atLeast"/>
        <w:rPr>
          <w:rFonts w:ascii="Helvetica Neue" w:eastAsia="Times New Roman" w:hAnsi="Helvetica Neue" w:cs="Times New Roman"/>
          <w:color w:val="1A1E25"/>
          <w:sz w:val="21"/>
          <w:szCs w:val="21"/>
          <w:lang w:eastAsia="ru-RU"/>
        </w:rPr>
      </w:pPr>
      <w:r w:rsidRPr="00041E1E">
        <w:rPr>
          <w:rFonts w:ascii="Helvetica Neue" w:eastAsia="Times New Roman" w:hAnsi="Helvetica Neue" w:cs="Times New Roman"/>
          <w:color w:val="1A1E25"/>
          <w:sz w:val="21"/>
          <w:szCs w:val="21"/>
          <w:lang w:eastAsia="ru-RU"/>
        </w:rPr>
        <w:t>10.4. Контроль за исполнением требований настоящей Политики и ее пересмотром возлагается на ответственного за организацию обработки Персональных данных в Обществе.</w:t>
      </w:r>
    </w:p>
    <w:p w14:paraId="16328A26" w14:textId="77777777" w:rsidR="00533AE5" w:rsidRDefault="00533AE5"/>
    <w:sectPr w:rsidR="00533A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6945"/>
    <w:multiLevelType w:val="multilevel"/>
    <w:tmpl w:val="817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C4FE8"/>
    <w:multiLevelType w:val="multilevel"/>
    <w:tmpl w:val="6DA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AA46DD"/>
    <w:multiLevelType w:val="multilevel"/>
    <w:tmpl w:val="81B2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247C0"/>
    <w:multiLevelType w:val="multilevel"/>
    <w:tmpl w:val="CB16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D50990"/>
    <w:multiLevelType w:val="multilevel"/>
    <w:tmpl w:val="EEE2E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A3508"/>
    <w:multiLevelType w:val="multilevel"/>
    <w:tmpl w:val="46FC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DF48A8"/>
    <w:multiLevelType w:val="multilevel"/>
    <w:tmpl w:val="57D2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1E"/>
    <w:rsid w:val="00041E1E"/>
    <w:rsid w:val="001E7362"/>
    <w:rsid w:val="00533AE5"/>
    <w:rsid w:val="006D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38A9654"/>
  <w15:chartTrackingRefBased/>
  <w15:docId w15:val="{D6EE2A4D-7D81-0F4A-8E50-5C448A39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041E1E"/>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41E1E"/>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E1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41E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041E1E"/>
    <w:pPr>
      <w:spacing w:before="100" w:beforeAutospacing="1" w:after="100" w:afterAutospacing="1"/>
    </w:pPr>
    <w:rPr>
      <w:rFonts w:ascii="Times New Roman" w:eastAsia="Times New Roman" w:hAnsi="Times New Roman" w:cs="Times New Roman"/>
      <w:lang w:eastAsia="ru-RU"/>
    </w:rPr>
  </w:style>
  <w:style w:type="character" w:styleId="a4">
    <w:name w:val="Strong"/>
    <w:basedOn w:val="a0"/>
    <w:uiPriority w:val="22"/>
    <w:qFormat/>
    <w:rsid w:val="00041E1E"/>
    <w:rPr>
      <w:b/>
      <w:bCs/>
    </w:rPr>
  </w:style>
  <w:style w:type="character" w:styleId="a5">
    <w:name w:val="Hyperlink"/>
    <w:basedOn w:val="a0"/>
    <w:uiPriority w:val="99"/>
    <w:semiHidden/>
    <w:unhideWhenUsed/>
    <w:rsid w:val="00041E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354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n.bet/pages/cooki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4413</Words>
  <Characters>25159</Characters>
  <Application>Microsoft Office Word</Application>
  <DocSecurity>0</DocSecurity>
  <Lines>209</Lines>
  <Paragraphs>59</Paragraphs>
  <ScaleCrop>false</ScaleCrop>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Ruzal Khismatov</dc:creator>
  <cp:keywords/>
  <dc:description/>
  <cp:lastModifiedBy>Ruzal Khismatov</cp:lastModifiedBy>
  <cp:revision>1</cp:revision>
  <dcterms:created xsi:type="dcterms:W3CDTF">2026-03-26T14:35:00Z</dcterms:created>
  <dcterms:modified xsi:type="dcterms:W3CDTF">2026-03-26T14:36:00Z</dcterms:modified>
</cp:coreProperties>
</file>